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艺术设计学院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-2学期学生</w:t>
      </w:r>
    </w:p>
    <w:p>
      <w:pPr>
        <w:spacing w:line="240" w:lineRule="auto"/>
        <w:jc w:val="center"/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转专业工作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方案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为贯彻以学生为本的教育理念，发挥学生兴趣与专长，促进学生个性化发展，根据《普通高等学校学生管理规定》及新修订的《山东女子学院普通全日制学生转专业管理办法》（鲁女院发〔2023〕4号），现将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艺术设计学院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本学期转专业工作安排如下：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一、成立转专业工作小组</w:t>
      </w:r>
    </w:p>
    <w:p>
      <w:pPr>
        <w:ind w:firstLine="640" w:firstLineChars="200"/>
        <w:jc w:val="left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长：赵月</w:t>
      </w:r>
    </w:p>
    <w:p>
      <w:pPr>
        <w:ind w:firstLine="640" w:firstLineChars="200"/>
        <w:jc w:val="left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副组长：赵崇立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曲常军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员：史磊、崔姗、霍建强、宗杰、綦修瑜、王新莲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二、组织学习转专业管理办法，开展指导咨询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3月4日前，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班主任、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学业导师、辅导员和全体202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级学生认真学习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《山东女子学院普通全日制学生转专业管理办法》，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有疑问由学院教学管理办公室统一汇总交教务处学籍科解答。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3月6日，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在学院网站发布《艺术设计学院2023-2024-2学期学生转专业工作方案》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3月7日—11日，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加强对学生转专业工作指导。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本学院学生只在艺术设计类专业内申请转专业，各专业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应与申请转出的学生进行沟通，了解其真实意愿。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转入专业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在考核前，应安排专人对转入专业的培养目标、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课程体系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学习要求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及就业前景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等进行讲解，帮助学生评估转专业后学习上可能存在的风险及困难（部分已修课程学分可能须作无效处理、可能需要延长学习年限等），引导学生理智、谨慎地提出申请。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转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专业工作方案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学院根据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教学资源情况，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结合艺术设计专业教学特点，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本着公平、公正、公开的原则，在充分考虑拟转入学生已完成学业进展情况的基础上，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转专业工作方案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申请条件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入学满一学期的在籍在校普通全日制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美术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，不含校企合作。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热爱艺术设计专业，对拟转入专业有一定了解。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学生有下列情形之一的，不得申请转专业：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处于休学、保留学籍期间的；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②第一学期期末考试不及格，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考试作弊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，违法违纪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已经转过专业的；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其他经学校审核认为不适宜转专业的。</w:t>
      </w:r>
    </w:p>
    <w:p>
      <w:pPr>
        <w:ind w:firstLine="643" w:firstLineChars="200"/>
        <w:jc w:val="lef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各专业拟接收学生计划数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450"/>
        <w:gridCol w:w="146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7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50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463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拟接受学生计划数</w:t>
            </w:r>
          </w:p>
        </w:tc>
        <w:tc>
          <w:tcPr>
            <w:tcW w:w="2742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4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42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42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42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考核办法及标准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各专业对申请转入的学生进行考核，考核由笔试、面试和2023-2024-1学期的学分绩点综合组成，计算方法：学分绩点*20%+笔试成绩*40%+面试成绩*40%。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笔试与面试均须通过考核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依据综合得分，由高到低择优录取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。笔试考核办法：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546"/>
        <w:gridCol w:w="328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6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285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笔试考核要求</w:t>
            </w:r>
          </w:p>
        </w:tc>
        <w:tc>
          <w:tcPr>
            <w:tcW w:w="2707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考核类型：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装饰画创作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考核要求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根据考试命题要求进行创作，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考试用纸为8开；时间为120分钟。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创作必须独立完成，不允许抄袭；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画面完整，品相整洁；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绘图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材料根据创作技法需求选取，水彩、水粉、国画色、丙烯、彩铅等材料均可，单一技法或者综合技法均可。</w:t>
            </w:r>
          </w:p>
        </w:tc>
        <w:tc>
          <w:tcPr>
            <w:tcW w:w="2707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构思特色突出，指向明确。（25分）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绘画材料和表现技法运用得当，效果明确。（10分）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画面结构设计整体有序、美感突出。（20分）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画面色彩设计和谐、响亮，效果整体。（15分）</w:t>
            </w:r>
          </w:p>
          <w:p>
            <w:pPr>
              <w:jc w:val="left"/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画面整体效果响亮、明确，展现出较高的设计素养。（30分）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考核类型：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建筑手绘创作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考核要求：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考试用纸为8开，时间为120分钟，创作数量为1幅；创作必须独立完成，不允许抄袭；作品画面完整，品相整洁；绘图材料根据创作技法需求选取，铅笔、钢笔、橡皮、水彩、水粉、丙烯等常见材料均可。</w:t>
            </w:r>
            <w:r>
              <w:rPr>
                <w:rStyle w:val="6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2707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1.构图合理，比例恰当，透视准确、画面效果和，对场景建筑把握较好。（35分）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2.绘画材料和表现技法运用得当，效果明确。（20分）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3.画面色彩设计和谐、响亮，效果整体。（15分）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4.画面整体效果响亮、明确，展现出较高的设计素养。（30分）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3285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考核类型：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命题速写人物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考核要求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考试用纸为8开；时间为60分钟。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创作必须独立完成，不允许抄袭；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画面完整，品相整洁；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工具选用铅笔、炭笔、签字笔均可。</w:t>
            </w:r>
          </w:p>
        </w:tc>
        <w:tc>
          <w:tcPr>
            <w:tcW w:w="2707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1.构图合理，人物比例合理，透视准确。（20分）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2.人物速写造型整体，动态美观，人体结构关系准确。（30分）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3.人物线条笔法直接流畅，简练概括，能迅速把握人物的主要特征。（30分）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4.画面整体效果和谐，绘画材料与表现技法运用得当。（20分）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6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3285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考题类型：</w:t>
            </w: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产品设计方案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考核要求：</w:t>
            </w: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依据当前生活难题，任选现有产品进行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个草图创意方案的设计，并对其中一个方案（3个方案中的一个）进行深化设计，深化的设计方案具有细节放大图、使用情境图和300字左右的设计说明。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时间为120分钟。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说明：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1.本考核方案为黑白作品稿，切勿彩铅、马克笔、水粉或水彩上色。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2.本次考核形式为设计作品。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材料工具要求：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纸张为</w:t>
            </w: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A2</w:t>
            </w: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80克快题纸一张。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2.铅笔、橡皮、黑色直液中性笔。</w:t>
            </w:r>
          </w:p>
        </w:tc>
        <w:tc>
          <w:tcPr>
            <w:tcW w:w="2707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1.产品草图方案思路多样性强。（15分）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2.产品方案精致，完整程度高，设计因素充分。（30分）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3.产品方案外观美观，具有良好的使用功能。（40分）</w:t>
            </w:r>
          </w:p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4.设计说明描述准确。（15分）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面试：由学院统一安排，每个专业成立由3-5位教师组成的考核小组进行面试。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面试考核办法：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725"/>
        <w:gridCol w:w="300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5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000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面试考核要求</w:t>
            </w:r>
          </w:p>
        </w:tc>
        <w:tc>
          <w:tcPr>
            <w:tcW w:w="2738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3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考核类型：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考核要求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1.每位申请者面试总时长为15分钟，包括个人介绍5分钟和问答环节10分钟。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  <w:tab w:val="left" w:pos="72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2.主要考察学生的基本的专业知识，综合文化艺术素养，个人学习计划，语言表达能力，仪态仪容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738" w:type="dxa"/>
          </w:tcPr>
          <w:p>
            <w:pPr>
              <w:tabs>
                <w:tab w:val="left" w:pos="1680"/>
                <w:tab w:val="left" w:pos="7245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学生对转入专业具有清晰的认识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tabs>
                <w:tab w:val="left" w:pos="1680"/>
                <w:tab w:val="left" w:pos="7245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学生的专业学习计划性强，目标清晰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tabs>
                <w:tab w:val="left" w:pos="1680"/>
                <w:tab w:val="left" w:pos="7245"/>
              </w:tabs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3.学生对面试组教师提出的问题，思辨能力强，由良好的文化艺术素养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  <w:p>
            <w:pPr>
              <w:tabs>
                <w:tab w:val="left" w:pos="1680"/>
                <w:tab w:val="left" w:pos="7245"/>
              </w:tabs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4.学生着装得体，仪容自然，举止大方，精神面貌佳；具有良好的语言表达能力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</w:tbl>
    <w:p>
      <w:pPr>
        <w:ind w:firstLine="643" w:firstLineChars="200"/>
        <w:jc w:val="lef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各专业咨询人及联系方式、材料交送地点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475"/>
        <w:gridCol w:w="303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75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3038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咨询人及电话</w:t>
            </w:r>
          </w:p>
        </w:tc>
        <w:tc>
          <w:tcPr>
            <w:tcW w:w="1950" w:type="dxa"/>
            <w:shd w:val="clear" w:color="auto" w:fill="D7D7D7" w:themeFill="background1" w:themeFillShade="D8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材料送交地点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75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3038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史  磊 15315590720</w:t>
            </w:r>
          </w:p>
        </w:tc>
        <w:tc>
          <w:tcPr>
            <w:tcW w:w="1950" w:type="dxa"/>
            <w:vMerge w:val="restart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求真楼304艺术设计学院教务办公室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75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3038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崔  姗 15006843287</w:t>
            </w:r>
          </w:p>
        </w:tc>
        <w:tc>
          <w:tcPr>
            <w:tcW w:w="1950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75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3038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霍建强 13165418558</w:t>
            </w:r>
          </w:p>
        </w:tc>
        <w:tc>
          <w:tcPr>
            <w:tcW w:w="1950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75" w:type="dxa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3038" w:type="dxa"/>
          </w:tcPr>
          <w:p>
            <w:pPr>
              <w:jc w:val="left"/>
              <w:rPr>
                <w:rFonts w:hint="default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宗  杰 13256655570   </w:t>
            </w:r>
          </w:p>
        </w:tc>
        <w:tc>
          <w:tcPr>
            <w:tcW w:w="1950" w:type="dxa"/>
            <w:vMerge w:val="continue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3月6日，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应及时通知学生到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艺术设计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学院网站查看各专业转专业申请条件、拟接收人数和考核方案。为保证转专业学生能在转入专业顺利学习，各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提醒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转专业报名前务必了解拟转入专业人才培养方案。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四、学生报名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资格审核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有转专业意向且符合条件的学生，在对申请转入专业充分了解的基础上，于202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日前填写《山东女子学院转专业申请表》（附件1），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将申请表纸质版、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电子版及申请材料(个人简介、获奖证书等)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教务办公室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日，由学院转专业工作小组依据申请条件对申请者进行资格审核，</w:t>
      </w:r>
      <w:r>
        <w:rPr>
          <w:rFonts w:hint="eastAsia" w:ascii="仿宋_GB2312" w:eastAsia="仿宋_GB2312"/>
          <w:color w:val="000000" w:themeColor="text1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经学院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转专业工作小组同意后，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学生方可参加转专业考核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。审核结果和考核时间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，由各专业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及时告知学生。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、转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考核与接收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日前，学院根据转专业工作方案，组织学生进行考核，考核完毕确定拟接收名单，将学生转专业申请表及转专业汇总表（附件2）报送教务处学籍科。报送的纸质材料需经学院院长签字并加盖学院公章。</w:t>
      </w:r>
    </w:p>
    <w:p>
      <w:pPr>
        <w:ind w:firstLine="640" w:firstLineChars="200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通知拟接受学生于第四教学周（3.18-3.22）到新专业试听一周，试听结束后，将最终确定接受的学生转专业申请表及转专业汇总表（附件2）于3月25日报送教务处学籍科。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、转专业结果公示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日前，教务处将对各二级学院考核结果在【企业微信】--【教学信息】栏目进行公示。公示期满，经学校研究决定后，确定转专业学生名单。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申请转专业的学生一旦被录取且公示期满后，其所有学籍及相关信息将由学校统一予以变更。学校不再接受学生退回原专业的申请。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被批准转专业的学生于202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年3月31日前到转入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报到、学习。</w:t>
      </w:r>
    </w:p>
    <w:p>
      <w:pPr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申请转专业的学生需及时查看学校公示。被批准转专业的学生，如果有意退出，请务必在学校公示结束前向学院提出书面申请，学院审批后报教务处学籍科。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需做好转专业考核过程中的相关材料收集归档工作，包括转专业工作小组名单、学生转专业申请表、转专业工作方案、学生的笔试考核、面试、打分材料及学院拟录取名单等（有条件的学院可使用光盘保存考核视频、音频文件）。</w:t>
      </w:r>
    </w:p>
    <w:p>
      <w:pPr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调整工作涉及学生发展与学校稳定，学院务必高度重视，加强领导、周密组织，公平公正做好相关环节的工作。参与转专业的工作人员若有亲属申请转专业的情况，须主动回避。要加强对学生的申请指导工作，确保转专业工作平稳有序进行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NzM0Y2RkYmZmODY4M2QyYmEyM2MzOTJmZWRkOGIifQ=="/>
  </w:docVars>
  <w:rsids>
    <w:rsidRoot w:val="1A5A0B9B"/>
    <w:rsid w:val="00E22F63"/>
    <w:rsid w:val="016043AA"/>
    <w:rsid w:val="02493090"/>
    <w:rsid w:val="0358450A"/>
    <w:rsid w:val="04475FE3"/>
    <w:rsid w:val="05C018BB"/>
    <w:rsid w:val="06565D7C"/>
    <w:rsid w:val="066975DA"/>
    <w:rsid w:val="06782099"/>
    <w:rsid w:val="06FB4F06"/>
    <w:rsid w:val="0C1B694F"/>
    <w:rsid w:val="0C1F4E62"/>
    <w:rsid w:val="0C923562"/>
    <w:rsid w:val="0CAC4AE4"/>
    <w:rsid w:val="0ECA70A2"/>
    <w:rsid w:val="0FAA2BBD"/>
    <w:rsid w:val="13B256CA"/>
    <w:rsid w:val="162B768F"/>
    <w:rsid w:val="16AA6699"/>
    <w:rsid w:val="16AC4D55"/>
    <w:rsid w:val="18A82A82"/>
    <w:rsid w:val="19BC1CA4"/>
    <w:rsid w:val="1A2E499F"/>
    <w:rsid w:val="1A5A0B9B"/>
    <w:rsid w:val="1A8E1B30"/>
    <w:rsid w:val="1B0911B7"/>
    <w:rsid w:val="1E8D7BB6"/>
    <w:rsid w:val="23B43B20"/>
    <w:rsid w:val="24B21C45"/>
    <w:rsid w:val="25FE0A3B"/>
    <w:rsid w:val="26647BE9"/>
    <w:rsid w:val="28926C90"/>
    <w:rsid w:val="29331689"/>
    <w:rsid w:val="2AFF4363"/>
    <w:rsid w:val="2B794137"/>
    <w:rsid w:val="2DB15E0A"/>
    <w:rsid w:val="2DBA01FC"/>
    <w:rsid w:val="303F594F"/>
    <w:rsid w:val="31E71DFA"/>
    <w:rsid w:val="33F03EF0"/>
    <w:rsid w:val="34052E7A"/>
    <w:rsid w:val="35A26038"/>
    <w:rsid w:val="36C5247C"/>
    <w:rsid w:val="37620175"/>
    <w:rsid w:val="39281748"/>
    <w:rsid w:val="39553AED"/>
    <w:rsid w:val="3C0B4A2B"/>
    <w:rsid w:val="3C3E7B92"/>
    <w:rsid w:val="3D024681"/>
    <w:rsid w:val="3D0E0B83"/>
    <w:rsid w:val="3E4C2272"/>
    <w:rsid w:val="41CB4EBD"/>
    <w:rsid w:val="449776B0"/>
    <w:rsid w:val="496127D1"/>
    <w:rsid w:val="4A875AD1"/>
    <w:rsid w:val="4C5A3506"/>
    <w:rsid w:val="4F11005F"/>
    <w:rsid w:val="505E3BA2"/>
    <w:rsid w:val="50D84B21"/>
    <w:rsid w:val="523429E2"/>
    <w:rsid w:val="53065A01"/>
    <w:rsid w:val="534C3D5B"/>
    <w:rsid w:val="54D92435"/>
    <w:rsid w:val="57FF18DD"/>
    <w:rsid w:val="5D0E3E30"/>
    <w:rsid w:val="600357A2"/>
    <w:rsid w:val="613C540F"/>
    <w:rsid w:val="61B551C2"/>
    <w:rsid w:val="62A675E2"/>
    <w:rsid w:val="633A3BD0"/>
    <w:rsid w:val="664A6C14"/>
    <w:rsid w:val="688E5DAD"/>
    <w:rsid w:val="6A5E63F6"/>
    <w:rsid w:val="70231548"/>
    <w:rsid w:val="70C061D9"/>
    <w:rsid w:val="70FA499F"/>
    <w:rsid w:val="730B5700"/>
    <w:rsid w:val="74746816"/>
    <w:rsid w:val="74F33BDF"/>
    <w:rsid w:val="772B58B2"/>
    <w:rsid w:val="77CC68DC"/>
    <w:rsid w:val="7AAF67FA"/>
    <w:rsid w:val="7C7C270C"/>
    <w:rsid w:val="7D4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3034</Words>
  <Characters>3221</Characters>
  <Lines>0</Lines>
  <Paragraphs>0</Paragraphs>
  <TotalTime>300</TotalTime>
  <ScaleCrop>false</ScaleCrop>
  <LinksUpToDate>false</LinksUpToDate>
  <CharactersWithSpaces>3266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2023-03-06T00:41:00Z</dcterms:created>
  <dc:creator>简境堂</dc:creator>
  <cp:lastModifiedBy>糕蛋</cp:lastModifiedBy>
  <cp:lastPrinted>2024-03-04T06:10:00Z</cp:lastPrinted>
  <dcterms:modified xsi:type="dcterms:W3CDTF">2024-03-04T07:03:19Z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3D0B48C9B5A9493D94C0C4A3BEE8041A</vt:lpwstr>
  </property>
</Properties>
</file>